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953F6" w14:textId="70771C0A" w:rsidR="0098718A" w:rsidRDefault="0098718A" w:rsidP="00EE3942">
      <w:pPr>
        <w:widowControl w:val="0"/>
        <w:autoSpaceDE w:val="0"/>
        <w:autoSpaceDN w:val="0"/>
        <w:adjustRightInd w:val="0"/>
        <w:spacing w:after="240" w:line="320" w:lineRule="atLeast"/>
        <w:rPr>
          <w:rFonts w:ascii="Chalkboard" w:hAnsi="Chalkboard" w:cs="Times New Roman"/>
          <w:b/>
          <w:color w:val="000000"/>
          <w:sz w:val="26"/>
          <w:szCs w:val="26"/>
        </w:rPr>
      </w:pPr>
      <w:r>
        <w:rPr>
          <w:rFonts w:ascii="Chalkboard" w:eastAsia="Times New Roman" w:hAnsi="Chalkboard" w:cs="Arial"/>
          <w:b/>
          <w:noProof/>
          <w:color w:val="70AD47" w:themeColor="accent6"/>
          <w:sz w:val="32"/>
          <w:szCs w:val="32"/>
        </w:rPr>
        <w:drawing>
          <wp:inline distT="0" distB="0" distL="0" distR="0" wp14:anchorId="247B93B6" wp14:editId="33DE6C22">
            <wp:extent cx="1994535" cy="1488440"/>
            <wp:effectExtent l="0" t="0" r="12065" b="10160"/>
            <wp:docPr id="1" name="Picture 1"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l="22219" t="1" r="32159" b="31235"/>
                    <a:stretch/>
                  </pic:blipFill>
                  <pic:spPr bwMode="auto">
                    <a:xfrm>
                      <a:off x="0" y="0"/>
                      <a:ext cx="1995672" cy="1489288"/>
                    </a:xfrm>
                    <a:prstGeom prst="rect">
                      <a:avLst/>
                    </a:prstGeom>
                    <a:noFill/>
                    <a:ln>
                      <a:noFill/>
                    </a:ln>
                    <a:extLst>
                      <a:ext uri="{53640926-AAD7-44D8-BBD7-CCE9431645EC}">
                        <a14:shadowObscured xmlns:a14="http://schemas.microsoft.com/office/drawing/2010/main"/>
                      </a:ext>
                    </a:extLst>
                  </pic:spPr>
                </pic:pic>
              </a:graphicData>
            </a:graphic>
          </wp:inline>
        </w:drawing>
      </w:r>
    </w:p>
    <w:p w14:paraId="43A6C8EE" w14:textId="77777777" w:rsidR="0098718A" w:rsidRDefault="0098718A" w:rsidP="00EE3942">
      <w:pPr>
        <w:widowControl w:val="0"/>
        <w:autoSpaceDE w:val="0"/>
        <w:autoSpaceDN w:val="0"/>
        <w:adjustRightInd w:val="0"/>
        <w:spacing w:after="240" w:line="320" w:lineRule="atLeast"/>
        <w:rPr>
          <w:rFonts w:ascii="Chalkboard" w:hAnsi="Chalkboard" w:cs="Times New Roman"/>
          <w:b/>
          <w:color w:val="000000"/>
          <w:sz w:val="26"/>
          <w:szCs w:val="26"/>
        </w:rPr>
      </w:pPr>
    </w:p>
    <w:p w14:paraId="330ED42B" w14:textId="1C824F62" w:rsidR="00EE3942" w:rsidRPr="0098718A" w:rsidRDefault="00017D89" w:rsidP="00EE3942">
      <w:pPr>
        <w:widowControl w:val="0"/>
        <w:autoSpaceDE w:val="0"/>
        <w:autoSpaceDN w:val="0"/>
        <w:adjustRightInd w:val="0"/>
        <w:spacing w:after="240" w:line="320" w:lineRule="atLeast"/>
        <w:rPr>
          <w:rFonts w:ascii="Chalkboard" w:hAnsi="Chalkboard" w:cs="Times New Roman"/>
          <w:b/>
          <w:color w:val="538135" w:themeColor="accent6" w:themeShade="BF"/>
        </w:rPr>
      </w:pPr>
      <w:r w:rsidRPr="0098718A">
        <w:rPr>
          <w:rFonts w:ascii="Chalkboard" w:hAnsi="Chalkboard" w:cs="Times New Roman"/>
          <w:b/>
          <w:color w:val="538135" w:themeColor="accent6" w:themeShade="BF"/>
        </w:rPr>
        <w:t xml:space="preserve">Course Outline for Procurement AND Supply </w:t>
      </w:r>
      <w:r w:rsidR="0098718A" w:rsidRPr="0098718A">
        <w:rPr>
          <w:rFonts w:ascii="Chalkboard" w:hAnsi="Chalkboard" w:cs="Times New Roman"/>
          <w:b/>
          <w:color w:val="538135" w:themeColor="accent6" w:themeShade="BF"/>
        </w:rPr>
        <w:t>Chain</w:t>
      </w:r>
      <w:r w:rsidRPr="0098718A">
        <w:rPr>
          <w:rFonts w:ascii="Chalkboard" w:hAnsi="Chalkboard" w:cs="Times New Roman"/>
          <w:b/>
          <w:color w:val="538135" w:themeColor="accent6" w:themeShade="BF"/>
        </w:rPr>
        <w:t xml:space="preserve"> Management in Health </w:t>
      </w:r>
    </w:p>
    <w:p w14:paraId="5AEE5275" w14:textId="7DA59A25" w:rsidR="00EE3942" w:rsidRPr="0098718A" w:rsidRDefault="00EE3942" w:rsidP="00017D89">
      <w:pPr>
        <w:widowControl w:val="0"/>
        <w:autoSpaceDE w:val="0"/>
        <w:autoSpaceDN w:val="0"/>
        <w:adjustRightInd w:val="0"/>
        <w:spacing w:after="240" w:line="320" w:lineRule="atLeast"/>
        <w:jc w:val="both"/>
        <w:rPr>
          <w:rFonts w:ascii="Chalkboard" w:hAnsi="Chalkboard" w:cs="Times New Roman"/>
          <w:b/>
          <w:color w:val="000000"/>
          <w:sz w:val="22"/>
          <w:szCs w:val="22"/>
        </w:rPr>
      </w:pPr>
      <w:r w:rsidRPr="0098718A">
        <w:rPr>
          <w:rFonts w:ascii="Chalkboard" w:hAnsi="Chalkboard" w:cs="Times New Roman"/>
          <w:b/>
          <w:color w:val="000000"/>
          <w:sz w:val="22"/>
          <w:szCs w:val="22"/>
        </w:rPr>
        <w:t xml:space="preserve">Global health </w:t>
      </w:r>
    </w:p>
    <w:p w14:paraId="68B79782" w14:textId="58D3DFEB" w:rsidR="00EE3942" w:rsidRPr="00017D89" w:rsidRDefault="00EE3942" w:rsidP="00017D89">
      <w:pPr>
        <w:widowControl w:val="0"/>
        <w:autoSpaceDE w:val="0"/>
        <w:autoSpaceDN w:val="0"/>
        <w:adjustRightInd w:val="0"/>
        <w:spacing w:after="240" w:line="320" w:lineRule="atLeast"/>
        <w:jc w:val="both"/>
        <w:rPr>
          <w:rFonts w:ascii="Chalkboard" w:hAnsi="Chalkboard" w:cs="Times"/>
          <w:color w:val="000000"/>
          <w:sz w:val="21"/>
          <w:szCs w:val="21"/>
        </w:rPr>
      </w:pPr>
      <w:r w:rsidRPr="00017D89">
        <w:rPr>
          <w:rFonts w:ascii="Chalkboard" w:hAnsi="Chalkboard" w:cs="Times New Roman"/>
          <w:color w:val="000000"/>
          <w:sz w:val="21"/>
          <w:szCs w:val="21"/>
        </w:rPr>
        <w:t xml:space="preserve">“Universal health coverage needs global public health leaders with vision and the capability to bring about change. </w:t>
      </w:r>
      <w:r w:rsidR="00017D89" w:rsidRPr="00017D89">
        <w:rPr>
          <w:rFonts w:ascii="Chalkboard" w:hAnsi="Chalkboard" w:cs="Times New Roman"/>
          <w:color w:val="000000"/>
          <w:sz w:val="21"/>
          <w:szCs w:val="21"/>
        </w:rPr>
        <w:t>Empowers</w:t>
      </w:r>
      <w:r w:rsidRPr="00017D89">
        <w:rPr>
          <w:rFonts w:ascii="Chalkboard" w:hAnsi="Chalkboard" w:cs="Times New Roman"/>
          <w:color w:val="000000"/>
          <w:sz w:val="21"/>
          <w:szCs w:val="21"/>
        </w:rPr>
        <w:t xml:space="preserve"> work in leadership and human resources for health has played a vital role in creating global impact.” </w:t>
      </w:r>
    </w:p>
    <w:p w14:paraId="61063A4C" w14:textId="46F752F8" w:rsidR="00017D89" w:rsidRPr="00017D89" w:rsidRDefault="00EE3942" w:rsidP="00017D89">
      <w:pPr>
        <w:widowControl w:val="0"/>
        <w:autoSpaceDE w:val="0"/>
        <w:autoSpaceDN w:val="0"/>
        <w:adjustRightInd w:val="0"/>
        <w:spacing w:after="240" w:line="300" w:lineRule="atLeast"/>
        <w:jc w:val="both"/>
        <w:rPr>
          <w:rFonts w:ascii="Chalkboard" w:hAnsi="Chalkboard" w:cs="Times"/>
          <w:i/>
          <w:iCs/>
          <w:color w:val="000000"/>
          <w:sz w:val="21"/>
          <w:szCs w:val="21"/>
        </w:rPr>
      </w:pPr>
      <w:r w:rsidRPr="00017D89">
        <w:rPr>
          <w:rFonts w:ascii="Chalkboard" w:hAnsi="Chalkboard" w:cs="Times"/>
          <w:i/>
          <w:iCs/>
          <w:color w:val="000000"/>
          <w:sz w:val="21"/>
          <w:szCs w:val="21"/>
        </w:rPr>
        <w:t xml:space="preserve">His Excellency John A. Kufuor, President of Ghana </w:t>
      </w:r>
    </w:p>
    <w:p w14:paraId="5825DE77" w14:textId="32513FEA" w:rsidR="002C0BEB" w:rsidRPr="0098718A" w:rsidRDefault="002C0BEB" w:rsidP="00017D89">
      <w:pPr>
        <w:widowControl w:val="0"/>
        <w:autoSpaceDE w:val="0"/>
        <w:autoSpaceDN w:val="0"/>
        <w:adjustRightInd w:val="0"/>
        <w:spacing w:after="240" w:line="340" w:lineRule="atLeast"/>
        <w:jc w:val="both"/>
        <w:rPr>
          <w:rFonts w:ascii="Chalkboard" w:hAnsi="Chalkboard" w:cs="Times"/>
          <w:b/>
          <w:color w:val="000000" w:themeColor="text1"/>
          <w:sz w:val="22"/>
          <w:szCs w:val="22"/>
        </w:rPr>
      </w:pPr>
      <w:r w:rsidRPr="0098718A">
        <w:rPr>
          <w:rFonts w:ascii="Chalkboard" w:hAnsi="Chalkboard" w:cs="Times"/>
          <w:b/>
          <w:bCs/>
          <w:color w:val="000000" w:themeColor="text1"/>
          <w:sz w:val="22"/>
          <w:szCs w:val="22"/>
        </w:rPr>
        <w:t xml:space="preserve">Introduction to Procurement Cycle in Public Health </w:t>
      </w:r>
    </w:p>
    <w:p w14:paraId="3FD46DB9" w14:textId="77777777" w:rsidR="002C0BEB" w:rsidRPr="0098718A" w:rsidRDefault="002C0BEB" w:rsidP="00017D89">
      <w:pPr>
        <w:widowControl w:val="0"/>
        <w:autoSpaceDE w:val="0"/>
        <w:autoSpaceDN w:val="0"/>
        <w:adjustRightInd w:val="0"/>
        <w:spacing w:after="240" w:line="260" w:lineRule="atLeast"/>
        <w:jc w:val="both"/>
        <w:rPr>
          <w:rFonts w:ascii="Chalkboard" w:hAnsi="Chalkboard" w:cs="Times"/>
          <w:color w:val="000000"/>
          <w:sz w:val="21"/>
          <w:szCs w:val="21"/>
        </w:rPr>
      </w:pPr>
      <w:r w:rsidRPr="0098718A">
        <w:rPr>
          <w:rFonts w:ascii="Chalkboard" w:hAnsi="Chalkboard" w:cs="Times"/>
          <w:color w:val="000000"/>
          <w:sz w:val="21"/>
          <w:szCs w:val="21"/>
        </w:rPr>
        <w:t>Learn about what factors influence prices,</w:t>
      </w:r>
      <w:r w:rsidRPr="0098718A">
        <w:rPr>
          <w:rFonts w:ascii="MS Mincho" w:eastAsia="MS Mincho" w:hAnsi="MS Mincho" w:cs="MS Mincho"/>
          <w:color w:val="000000"/>
          <w:sz w:val="21"/>
          <w:szCs w:val="21"/>
        </w:rPr>
        <w:t> </w:t>
      </w:r>
      <w:r w:rsidRPr="0098718A">
        <w:rPr>
          <w:rFonts w:ascii="Chalkboard" w:hAnsi="Chalkboard" w:cs="Times"/>
          <w:color w:val="000000"/>
          <w:sz w:val="21"/>
          <w:szCs w:val="21"/>
        </w:rPr>
        <w:t xml:space="preserve">What the different procurement methods are, What Good Pharmaceutical Procurement is, which methodologies are used in Supplier selection, How Financial Sustainability is achieved in Procurement, and How is Procurement Assessment carried out. </w:t>
      </w:r>
    </w:p>
    <w:p w14:paraId="53821AA9" w14:textId="77777777" w:rsidR="00ED35F9" w:rsidRPr="0098718A" w:rsidRDefault="00ED35F9" w:rsidP="00017D89">
      <w:pPr>
        <w:widowControl w:val="0"/>
        <w:autoSpaceDE w:val="0"/>
        <w:autoSpaceDN w:val="0"/>
        <w:adjustRightInd w:val="0"/>
        <w:spacing w:after="240" w:line="340" w:lineRule="atLeast"/>
        <w:jc w:val="both"/>
        <w:rPr>
          <w:rFonts w:ascii="Chalkboard" w:hAnsi="Chalkboard" w:cs="Times"/>
          <w:color w:val="000000" w:themeColor="text1"/>
          <w:sz w:val="22"/>
          <w:szCs w:val="22"/>
        </w:rPr>
      </w:pPr>
      <w:r w:rsidRPr="0098718A">
        <w:rPr>
          <w:rFonts w:ascii="Chalkboard" w:hAnsi="Chalkboard" w:cs="Times"/>
          <w:b/>
          <w:bCs/>
          <w:color w:val="000000" w:themeColor="text1"/>
          <w:sz w:val="22"/>
          <w:szCs w:val="22"/>
        </w:rPr>
        <w:t xml:space="preserve">Global Health Leadership </w:t>
      </w:r>
    </w:p>
    <w:p w14:paraId="4145B809" w14:textId="0DE80DE3" w:rsidR="00ED35F9" w:rsidRPr="00017D89" w:rsidRDefault="00ED35F9" w:rsidP="00017D89">
      <w:pPr>
        <w:widowControl w:val="0"/>
        <w:autoSpaceDE w:val="0"/>
        <w:autoSpaceDN w:val="0"/>
        <w:adjustRightInd w:val="0"/>
        <w:spacing w:after="240" w:line="260" w:lineRule="atLeast"/>
        <w:jc w:val="both"/>
        <w:rPr>
          <w:rFonts w:ascii="Chalkboard" w:hAnsi="Chalkboard" w:cs="Times"/>
          <w:color w:val="000000"/>
          <w:sz w:val="21"/>
          <w:szCs w:val="21"/>
        </w:rPr>
      </w:pPr>
      <w:r w:rsidRPr="00017D89">
        <w:rPr>
          <w:rFonts w:ascii="Chalkboard" w:hAnsi="Chalkboard" w:cs="Times"/>
          <w:color w:val="000000"/>
          <w:sz w:val="21"/>
          <w:szCs w:val="21"/>
        </w:rPr>
        <w:t xml:space="preserve">Being a leader of a Global Health programme or institution exposes you to several issues and challenges –In this course, we discuss case studies with insights from various countries, </w:t>
      </w:r>
      <w:r w:rsidR="0098718A" w:rsidRPr="00017D89">
        <w:rPr>
          <w:rFonts w:ascii="Chalkboard" w:hAnsi="Chalkboard" w:cs="Times"/>
          <w:color w:val="000000"/>
          <w:sz w:val="21"/>
          <w:szCs w:val="21"/>
        </w:rPr>
        <w:t>analyze</w:t>
      </w:r>
      <w:r w:rsidRPr="00017D89">
        <w:rPr>
          <w:rFonts w:ascii="Chalkboard" w:hAnsi="Chalkboard" w:cs="Times"/>
          <w:color w:val="000000"/>
          <w:sz w:val="21"/>
          <w:szCs w:val="21"/>
        </w:rPr>
        <w:t xml:space="preserve"> their successful tackling of global health issues, and empower you with a holistic understanding to accelerate the global health agenda to greater heights. </w:t>
      </w:r>
    </w:p>
    <w:p w14:paraId="27199700" w14:textId="77777777" w:rsidR="00EF5456" w:rsidRPr="0098718A" w:rsidRDefault="00D05633" w:rsidP="00017D89">
      <w:pPr>
        <w:widowControl w:val="0"/>
        <w:autoSpaceDE w:val="0"/>
        <w:autoSpaceDN w:val="0"/>
        <w:adjustRightInd w:val="0"/>
        <w:spacing w:after="240" w:line="340" w:lineRule="atLeast"/>
        <w:jc w:val="both"/>
        <w:rPr>
          <w:rFonts w:ascii="Chalkboard" w:hAnsi="Chalkboard" w:cs="Times"/>
          <w:b/>
          <w:bCs/>
          <w:color w:val="B00004"/>
          <w:sz w:val="22"/>
          <w:szCs w:val="22"/>
        </w:rPr>
      </w:pPr>
      <w:r w:rsidRPr="0098718A">
        <w:rPr>
          <w:rFonts w:ascii="Chalkboard" w:hAnsi="Chalkboard" w:cs="Times"/>
          <w:b/>
          <w:bCs/>
          <w:color w:val="000000" w:themeColor="text1"/>
          <w:sz w:val="22"/>
          <w:szCs w:val="22"/>
        </w:rPr>
        <w:t xml:space="preserve">Managing Storage &amp; Distribution of Public Health Products </w:t>
      </w:r>
    </w:p>
    <w:p w14:paraId="0ADCC8CC" w14:textId="15280A3B" w:rsidR="00D05633" w:rsidRPr="00017D89" w:rsidRDefault="00D05633" w:rsidP="00017D89">
      <w:pPr>
        <w:widowControl w:val="0"/>
        <w:autoSpaceDE w:val="0"/>
        <w:autoSpaceDN w:val="0"/>
        <w:adjustRightInd w:val="0"/>
        <w:spacing w:after="240" w:line="340" w:lineRule="atLeast"/>
        <w:jc w:val="both"/>
        <w:rPr>
          <w:rFonts w:ascii="Chalkboard" w:hAnsi="Chalkboard" w:cs="Times"/>
          <w:color w:val="000000"/>
          <w:sz w:val="21"/>
          <w:szCs w:val="21"/>
        </w:rPr>
      </w:pPr>
      <w:r w:rsidRPr="00017D89">
        <w:rPr>
          <w:rFonts w:ascii="Chalkboard" w:hAnsi="Chalkboard" w:cs="Times"/>
          <w:color w:val="000000"/>
          <w:sz w:val="21"/>
          <w:szCs w:val="21"/>
        </w:rPr>
        <w:t xml:space="preserve">This practical and highly useful course includes topics such as Goals of Storage and Distribution, What the Distribution Cycle is constituted of. We simplify your understanding of how complex Distribution System Design is done, What Good Storage Practices are, How Resources and Cost Analysis is carried out, and how Improvements and Replacements are considered. </w:t>
      </w:r>
    </w:p>
    <w:p w14:paraId="530FEAE3" w14:textId="35753803" w:rsidR="00835367" w:rsidRPr="0098718A" w:rsidRDefault="00EE3942" w:rsidP="00017D89">
      <w:pPr>
        <w:jc w:val="both"/>
        <w:rPr>
          <w:rFonts w:ascii="Chalkboard" w:hAnsi="Chalkboard"/>
          <w:b/>
          <w:sz w:val="21"/>
          <w:szCs w:val="21"/>
        </w:rPr>
      </w:pPr>
      <w:r w:rsidRPr="0098718A">
        <w:rPr>
          <w:rFonts w:ascii="Chalkboard" w:hAnsi="Chalkboard"/>
          <w:b/>
          <w:sz w:val="21"/>
          <w:szCs w:val="21"/>
        </w:rPr>
        <w:t xml:space="preserve">Target GROUP </w:t>
      </w:r>
    </w:p>
    <w:p w14:paraId="3934B0F3" w14:textId="77777777" w:rsidR="00EE3942" w:rsidRPr="00017D89" w:rsidRDefault="00EE3942" w:rsidP="00017D89">
      <w:pPr>
        <w:jc w:val="both"/>
        <w:rPr>
          <w:rFonts w:ascii="Chalkboard" w:hAnsi="Chalkboard"/>
          <w:sz w:val="21"/>
          <w:szCs w:val="21"/>
        </w:rPr>
      </w:pPr>
    </w:p>
    <w:p w14:paraId="350420BE" w14:textId="379B18BF" w:rsidR="00EE3942" w:rsidRPr="00017D89" w:rsidRDefault="00EE3942" w:rsidP="00017D89">
      <w:pPr>
        <w:jc w:val="both"/>
        <w:rPr>
          <w:rFonts w:ascii="Chalkboard" w:hAnsi="Chalkboard"/>
          <w:sz w:val="21"/>
          <w:szCs w:val="21"/>
        </w:rPr>
      </w:pPr>
      <w:r w:rsidRPr="00017D89">
        <w:rPr>
          <w:rFonts w:ascii="Chalkboard" w:hAnsi="Chalkboard"/>
          <w:sz w:val="21"/>
          <w:szCs w:val="21"/>
        </w:rPr>
        <w:t xml:space="preserve">Director </w:t>
      </w:r>
      <w:r w:rsidR="00E52DFD" w:rsidRPr="00017D89">
        <w:rPr>
          <w:rFonts w:ascii="Chalkboard" w:hAnsi="Chalkboard"/>
          <w:sz w:val="21"/>
          <w:szCs w:val="21"/>
        </w:rPr>
        <w:t>general procurement</w:t>
      </w:r>
    </w:p>
    <w:p w14:paraId="1DB6D76A" w14:textId="24CEE034" w:rsidR="00EE3942" w:rsidRPr="00017D89" w:rsidRDefault="00EE3942" w:rsidP="00017D89">
      <w:pPr>
        <w:jc w:val="both"/>
        <w:rPr>
          <w:rFonts w:ascii="Chalkboard" w:hAnsi="Chalkboard"/>
          <w:sz w:val="21"/>
          <w:szCs w:val="21"/>
        </w:rPr>
      </w:pPr>
      <w:r w:rsidRPr="00017D89">
        <w:rPr>
          <w:rFonts w:ascii="Chalkboard" w:hAnsi="Chalkboard"/>
          <w:sz w:val="21"/>
          <w:szCs w:val="21"/>
        </w:rPr>
        <w:lastRenderedPageBreak/>
        <w:t>Pharmacist</w:t>
      </w:r>
    </w:p>
    <w:p w14:paraId="6C6CCBAF" w14:textId="3F44FFDA" w:rsidR="00EE3942" w:rsidRPr="00017D89" w:rsidRDefault="00EE3942" w:rsidP="00017D89">
      <w:pPr>
        <w:jc w:val="both"/>
        <w:rPr>
          <w:rFonts w:ascii="Chalkboard" w:hAnsi="Chalkboard"/>
          <w:sz w:val="21"/>
          <w:szCs w:val="21"/>
        </w:rPr>
      </w:pPr>
      <w:r w:rsidRPr="00017D89">
        <w:rPr>
          <w:rFonts w:ascii="Chalkboard" w:hAnsi="Chalkboard"/>
          <w:sz w:val="21"/>
          <w:szCs w:val="21"/>
        </w:rPr>
        <w:t>Supply chain managers in Health</w:t>
      </w:r>
    </w:p>
    <w:p w14:paraId="2F7BE676" w14:textId="1CFDD956" w:rsidR="00EE3942" w:rsidRPr="00017D89" w:rsidRDefault="00EE3942" w:rsidP="00017D89">
      <w:pPr>
        <w:jc w:val="both"/>
        <w:rPr>
          <w:rFonts w:ascii="Chalkboard" w:hAnsi="Chalkboard"/>
          <w:sz w:val="21"/>
          <w:szCs w:val="21"/>
        </w:rPr>
      </w:pPr>
      <w:r w:rsidRPr="00017D89">
        <w:rPr>
          <w:rFonts w:ascii="Chalkboard" w:hAnsi="Chalkboard"/>
          <w:sz w:val="21"/>
          <w:szCs w:val="21"/>
        </w:rPr>
        <w:t>Procurement Officers in Health sector</w:t>
      </w:r>
    </w:p>
    <w:p w14:paraId="551836DF" w14:textId="575E13EC" w:rsidR="00EE3942" w:rsidRPr="00017D89" w:rsidRDefault="00EE3942" w:rsidP="00017D89">
      <w:pPr>
        <w:jc w:val="both"/>
        <w:rPr>
          <w:rFonts w:ascii="Chalkboard" w:hAnsi="Chalkboard"/>
          <w:sz w:val="21"/>
          <w:szCs w:val="21"/>
        </w:rPr>
      </w:pPr>
      <w:r w:rsidRPr="00017D89">
        <w:rPr>
          <w:rFonts w:ascii="Chalkboard" w:hAnsi="Chalkboard"/>
          <w:sz w:val="21"/>
          <w:szCs w:val="21"/>
        </w:rPr>
        <w:t xml:space="preserve">Medical managers </w:t>
      </w:r>
    </w:p>
    <w:p w14:paraId="5187874A" w14:textId="4F2F301B" w:rsidR="00EE3942" w:rsidRPr="00017D89" w:rsidRDefault="00EE3942" w:rsidP="00017D89">
      <w:pPr>
        <w:jc w:val="both"/>
        <w:rPr>
          <w:rFonts w:ascii="Chalkboard" w:hAnsi="Chalkboard"/>
          <w:sz w:val="21"/>
          <w:szCs w:val="21"/>
        </w:rPr>
      </w:pPr>
      <w:r w:rsidRPr="00017D89">
        <w:rPr>
          <w:rFonts w:ascii="Chalkboard" w:hAnsi="Chalkboard"/>
          <w:sz w:val="21"/>
          <w:szCs w:val="21"/>
        </w:rPr>
        <w:t>Hospital Managers</w:t>
      </w:r>
    </w:p>
    <w:p w14:paraId="54111C78" w14:textId="1ABC690D" w:rsidR="00E52DFD" w:rsidRPr="00017D89" w:rsidRDefault="0098718A" w:rsidP="00017D89">
      <w:pPr>
        <w:jc w:val="both"/>
        <w:rPr>
          <w:rFonts w:ascii="Chalkboard" w:hAnsi="Chalkboard"/>
          <w:sz w:val="21"/>
          <w:szCs w:val="21"/>
        </w:rPr>
      </w:pPr>
      <w:r>
        <w:rPr>
          <w:rFonts w:ascii="Chalkboard" w:hAnsi="Chalkboard"/>
          <w:sz w:val="21"/>
          <w:szCs w:val="21"/>
        </w:rPr>
        <w:t>NGOs Managers in Health sector</w:t>
      </w:r>
    </w:p>
    <w:p w14:paraId="772E0C1F" w14:textId="150903FB" w:rsidR="00622A32" w:rsidRPr="00017D89" w:rsidRDefault="00622A32" w:rsidP="00017D89">
      <w:pPr>
        <w:jc w:val="both"/>
        <w:rPr>
          <w:rFonts w:ascii="Chalkboard" w:hAnsi="Chalkboard"/>
          <w:sz w:val="21"/>
          <w:szCs w:val="21"/>
        </w:rPr>
      </w:pPr>
      <w:r w:rsidRPr="00017D89">
        <w:rPr>
          <w:rFonts w:ascii="Chalkboard" w:hAnsi="Chalkboard"/>
          <w:sz w:val="21"/>
          <w:szCs w:val="21"/>
        </w:rPr>
        <w:t>Public health professionals</w:t>
      </w:r>
    </w:p>
    <w:p w14:paraId="3C940177" w14:textId="5D91A4D0" w:rsidR="00622A32" w:rsidRPr="00017D89" w:rsidRDefault="00622A32" w:rsidP="00017D89">
      <w:pPr>
        <w:jc w:val="both"/>
        <w:rPr>
          <w:rFonts w:ascii="Chalkboard" w:hAnsi="Chalkboard"/>
          <w:sz w:val="21"/>
          <w:szCs w:val="21"/>
        </w:rPr>
      </w:pPr>
      <w:r w:rsidRPr="00017D89">
        <w:rPr>
          <w:rFonts w:ascii="Chalkboard" w:hAnsi="Chalkboard"/>
          <w:sz w:val="21"/>
          <w:szCs w:val="21"/>
        </w:rPr>
        <w:t>Private sector importers and buyers</w:t>
      </w:r>
    </w:p>
    <w:p w14:paraId="15EA6E2E" w14:textId="12D4C78F" w:rsidR="00622A32" w:rsidRDefault="00B0441C" w:rsidP="00017D89">
      <w:pPr>
        <w:jc w:val="both"/>
        <w:rPr>
          <w:rFonts w:ascii="Chalkboard" w:hAnsi="Chalkboard"/>
          <w:sz w:val="21"/>
          <w:szCs w:val="21"/>
        </w:rPr>
      </w:pPr>
      <w:r w:rsidRPr="00017D89">
        <w:rPr>
          <w:rFonts w:ascii="Chalkboard" w:hAnsi="Chalkboard"/>
          <w:sz w:val="21"/>
          <w:szCs w:val="21"/>
        </w:rPr>
        <w:t>Programme officers</w:t>
      </w:r>
    </w:p>
    <w:p w14:paraId="5ECE2CBA" w14:textId="77777777" w:rsidR="00B70AA6" w:rsidRDefault="00B70AA6" w:rsidP="00017D89">
      <w:pPr>
        <w:jc w:val="both"/>
        <w:rPr>
          <w:rFonts w:ascii="Chalkboard" w:hAnsi="Chalkboard"/>
          <w:sz w:val="21"/>
          <w:szCs w:val="21"/>
        </w:rPr>
      </w:pPr>
    </w:p>
    <w:p w14:paraId="2696BCC1" w14:textId="77777777" w:rsidR="00B70AA6" w:rsidRDefault="00B70AA6" w:rsidP="00017D89">
      <w:pPr>
        <w:jc w:val="both"/>
        <w:rPr>
          <w:rFonts w:ascii="Chalkboard" w:hAnsi="Chalkboard"/>
          <w:sz w:val="21"/>
          <w:szCs w:val="21"/>
        </w:rPr>
      </w:pPr>
    </w:p>
    <w:tbl>
      <w:tblPr>
        <w:tblW w:w="8573"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6211"/>
      </w:tblGrid>
      <w:tr w:rsidR="00B70AA6" w:rsidRPr="00BB7DC2" w14:paraId="405AAEA1" w14:textId="77777777" w:rsidTr="00062C03">
        <w:trPr>
          <w:trHeight w:val="690"/>
          <w:tblCellSpacing w:w="15" w:type="dxa"/>
        </w:trPr>
        <w:tc>
          <w:tcPr>
            <w:tcW w:w="2317" w:type="dxa"/>
            <w:tcBorders>
              <w:top w:val="nil"/>
              <w:left w:val="single" w:sz="6" w:space="0" w:color="DDDDDD"/>
            </w:tcBorders>
            <w:shd w:val="clear" w:color="auto" w:fill="F9F9F9"/>
            <w:tcMar>
              <w:top w:w="120" w:type="dxa"/>
              <w:left w:w="120" w:type="dxa"/>
              <w:bottom w:w="120" w:type="dxa"/>
              <w:right w:w="120" w:type="dxa"/>
            </w:tcMar>
            <w:hideMark/>
          </w:tcPr>
          <w:p w14:paraId="70BAEED6" w14:textId="77777777"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bCs/>
                <w:sz w:val="21"/>
                <w:szCs w:val="21"/>
              </w:rPr>
              <w:t>Course Start Date</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4E697FDA" w14:textId="32106A86"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sz w:val="21"/>
                <w:szCs w:val="21"/>
              </w:rPr>
              <w:t>14 March 2018</w:t>
            </w:r>
          </w:p>
        </w:tc>
      </w:tr>
      <w:tr w:rsidR="00B70AA6" w:rsidRPr="00BB7DC2" w14:paraId="78E01DB1"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EA278F" w14:textId="77777777"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bCs/>
                <w:sz w:val="21"/>
                <w:szCs w:val="21"/>
              </w:rPr>
              <w:t>Course End Date</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FC8752" w14:textId="7DCC9484"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sz w:val="21"/>
                <w:szCs w:val="21"/>
              </w:rPr>
              <w:t>22 March 2018</w:t>
            </w:r>
          </w:p>
        </w:tc>
      </w:tr>
      <w:tr w:rsidR="00B70AA6" w:rsidRPr="00BB7DC2" w14:paraId="68501EEB" w14:textId="77777777" w:rsidTr="00062C03">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8E00563" w14:textId="77777777"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bCs/>
                <w:sz w:val="21"/>
                <w:szCs w:val="21"/>
              </w:rPr>
              <w:t xml:space="preserve">Price Per Person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53B8AFE" w14:textId="00CC48CB" w:rsidR="00B70AA6" w:rsidRPr="00B70AA6" w:rsidRDefault="00F81384" w:rsidP="00062C03">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$ 3</w:t>
            </w:r>
            <w:bookmarkStart w:id="0" w:name="_GoBack"/>
            <w:bookmarkEnd w:id="0"/>
            <w:r w:rsidR="00B70AA6" w:rsidRPr="00B70AA6">
              <w:rPr>
                <w:rFonts w:ascii="Chalkboard" w:eastAsia="Times New Roman" w:hAnsi="Chalkboard" w:cs="Times New Roman"/>
                <w:b/>
                <w:sz w:val="21"/>
                <w:szCs w:val="21"/>
              </w:rPr>
              <w:t xml:space="preserve"> 520-00</w:t>
            </w:r>
          </w:p>
        </w:tc>
      </w:tr>
      <w:tr w:rsidR="00B70AA6" w:rsidRPr="00BB7DC2" w14:paraId="7CEDC30F"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BF05BF" w14:textId="77777777"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sz w:val="21"/>
                <w:szCs w:val="21"/>
              </w:rPr>
              <w:t xml:space="preserve">Accommodation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4C4B34" w14:textId="77777777" w:rsidR="00B70AA6" w:rsidRPr="00B70AA6" w:rsidRDefault="00B70AA6" w:rsidP="00062C03">
            <w:pPr>
              <w:spacing w:before="150" w:after="300" w:line="300" w:lineRule="atLeast"/>
              <w:jc w:val="both"/>
              <w:rPr>
                <w:rFonts w:ascii="Chalkboard" w:eastAsia="Times New Roman" w:hAnsi="Chalkboard" w:cs="Times New Roman"/>
                <w:b/>
                <w:sz w:val="21"/>
                <w:szCs w:val="21"/>
              </w:rPr>
            </w:pPr>
            <w:r w:rsidRPr="00B70AA6">
              <w:rPr>
                <w:rFonts w:ascii="Chalkboard" w:eastAsia="Times New Roman" w:hAnsi="Chalkboard" w:cs="Times New Roman"/>
                <w:b/>
                <w:sz w:val="21"/>
                <w:szCs w:val="21"/>
              </w:rPr>
              <w:t>$1.000 per person for 10 days (This include bed and Breakfast)</w:t>
            </w:r>
          </w:p>
        </w:tc>
      </w:tr>
      <w:tr w:rsidR="00B70AA6" w:rsidRPr="00BB7DC2" w14:paraId="79EAED96" w14:textId="77777777" w:rsidTr="00062C03">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86106FE" w14:textId="77777777" w:rsidR="00B70AA6" w:rsidRPr="00BB7DC2" w:rsidRDefault="00B70AA6" w:rsidP="00062C03">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4D561185" w14:textId="77777777" w:rsidR="00B70AA6" w:rsidRPr="00BB7DC2" w:rsidRDefault="00B70AA6" w:rsidP="00062C03">
            <w:pPr>
              <w:spacing w:before="150" w:after="300" w:line="300" w:lineRule="atLeast"/>
              <w:jc w:val="both"/>
              <w:rPr>
                <w:rFonts w:ascii="Chalkboard" w:eastAsia="Times New Roman" w:hAnsi="Chalkboard" w:cs="Times New Roman"/>
                <w:sz w:val="21"/>
                <w:szCs w:val="21"/>
              </w:rPr>
            </w:pPr>
          </w:p>
        </w:tc>
      </w:tr>
      <w:tr w:rsidR="00B70AA6" w:rsidRPr="00BB7DC2" w14:paraId="6A2A80C5" w14:textId="77777777" w:rsidTr="00062C0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4A97E44" w14:textId="77777777" w:rsidR="00B70AA6" w:rsidRPr="00BB7DC2" w:rsidRDefault="00B70AA6" w:rsidP="00062C03">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55DCA66" w14:textId="77777777" w:rsidR="00B70AA6" w:rsidRPr="00BB7DC2" w:rsidRDefault="00B70AA6" w:rsidP="00062C03">
            <w:pPr>
              <w:spacing w:before="150" w:after="300" w:line="300" w:lineRule="atLeast"/>
              <w:jc w:val="both"/>
              <w:rPr>
                <w:rFonts w:ascii="Chalkboard" w:eastAsia="Times New Roman" w:hAnsi="Chalkboard" w:cs="Times New Roman"/>
                <w:sz w:val="21"/>
                <w:szCs w:val="21"/>
              </w:rPr>
            </w:pPr>
          </w:p>
        </w:tc>
      </w:tr>
    </w:tbl>
    <w:p w14:paraId="7FD40224" w14:textId="77777777" w:rsidR="00B70AA6" w:rsidRDefault="00B70AA6" w:rsidP="00017D89">
      <w:pPr>
        <w:jc w:val="both"/>
        <w:rPr>
          <w:rFonts w:ascii="Chalkboard" w:hAnsi="Chalkboard"/>
          <w:sz w:val="21"/>
          <w:szCs w:val="21"/>
        </w:rPr>
      </w:pPr>
    </w:p>
    <w:p w14:paraId="03630A9B" w14:textId="77777777" w:rsidR="00B70AA6" w:rsidRDefault="00B70AA6" w:rsidP="00017D89">
      <w:pPr>
        <w:jc w:val="both"/>
        <w:rPr>
          <w:rFonts w:ascii="Chalkboard" w:hAnsi="Chalkboard"/>
          <w:sz w:val="21"/>
          <w:szCs w:val="21"/>
        </w:rPr>
      </w:pPr>
    </w:p>
    <w:p w14:paraId="099A829A" w14:textId="77777777" w:rsidR="00B70AA6" w:rsidRDefault="00B70AA6" w:rsidP="00017D89">
      <w:pPr>
        <w:jc w:val="both"/>
        <w:rPr>
          <w:rFonts w:ascii="Chalkboard" w:hAnsi="Chalkboard"/>
          <w:sz w:val="21"/>
          <w:szCs w:val="21"/>
        </w:rPr>
      </w:pPr>
    </w:p>
    <w:p w14:paraId="0790FA75" w14:textId="77777777" w:rsidR="00B70AA6" w:rsidRDefault="00B70AA6" w:rsidP="00017D89">
      <w:pPr>
        <w:jc w:val="both"/>
        <w:rPr>
          <w:rFonts w:ascii="Chalkboard" w:hAnsi="Chalkboard"/>
          <w:sz w:val="21"/>
          <w:szCs w:val="21"/>
        </w:rPr>
      </w:pPr>
    </w:p>
    <w:p w14:paraId="5FE509EF" w14:textId="77777777" w:rsidR="00B70AA6" w:rsidRPr="00017D89" w:rsidRDefault="00B70AA6" w:rsidP="00017D89">
      <w:pPr>
        <w:jc w:val="both"/>
        <w:rPr>
          <w:rFonts w:ascii="Chalkboard" w:hAnsi="Chalkboard"/>
          <w:sz w:val="21"/>
          <w:szCs w:val="21"/>
        </w:rPr>
      </w:pPr>
    </w:p>
    <w:sectPr w:rsidR="00B70AA6" w:rsidRPr="00017D89" w:rsidSect="00FE07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EB"/>
    <w:rsid w:val="00017D89"/>
    <w:rsid w:val="002C0BEB"/>
    <w:rsid w:val="00361595"/>
    <w:rsid w:val="00622A32"/>
    <w:rsid w:val="006B54F2"/>
    <w:rsid w:val="006B63C4"/>
    <w:rsid w:val="0098718A"/>
    <w:rsid w:val="00B0441C"/>
    <w:rsid w:val="00B70AA6"/>
    <w:rsid w:val="00BE728F"/>
    <w:rsid w:val="00D05633"/>
    <w:rsid w:val="00E52DFD"/>
    <w:rsid w:val="00ED35F9"/>
    <w:rsid w:val="00EE3942"/>
    <w:rsid w:val="00EF5456"/>
    <w:rsid w:val="00F8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9A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Joseph Makuvaza</cp:lastModifiedBy>
  <cp:revision>10</cp:revision>
  <dcterms:created xsi:type="dcterms:W3CDTF">2017-12-15T12:48:00Z</dcterms:created>
  <dcterms:modified xsi:type="dcterms:W3CDTF">2018-01-07T20:14:00Z</dcterms:modified>
</cp:coreProperties>
</file>