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FA3C" w14:textId="1B5F7767" w:rsidR="00D75FA7" w:rsidRDefault="00D75FA7" w:rsidP="00A90B94">
      <w:pPr>
        <w:spacing w:before="180" w:after="180"/>
        <w:rPr>
          <w:rFonts w:ascii="Chalkboard" w:hAnsi="Chalkboard" w:cs="Times New Roman"/>
          <w:b/>
          <w:bCs/>
          <w:color w:val="3B3B3B"/>
        </w:rPr>
      </w:pPr>
      <w:r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</w:rPr>
        <w:drawing>
          <wp:inline distT="0" distB="0" distL="0" distR="0" wp14:anchorId="38745F3E" wp14:editId="6376A989">
            <wp:extent cx="1994535" cy="1488440"/>
            <wp:effectExtent l="0" t="0" r="12065" b="10160"/>
            <wp:docPr id="1" name="Picture 1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995672" cy="148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2C369" w14:textId="46DCD58F" w:rsidR="00D75FA7" w:rsidRDefault="002B1AFB" w:rsidP="00A90B94">
      <w:pPr>
        <w:spacing w:before="180" w:after="180"/>
        <w:rPr>
          <w:rFonts w:ascii="Chalkboard" w:hAnsi="Chalkboard" w:cs="Times New Roman"/>
          <w:b/>
          <w:bCs/>
          <w:color w:val="3B3B3B"/>
        </w:rPr>
      </w:pPr>
      <w:r>
        <w:rPr>
          <w:rFonts w:ascii="Chalkboard" w:hAnsi="Chalkboard" w:cs="Times New Roman"/>
          <w:b/>
          <w:bCs/>
          <w:color w:val="3B3B3B"/>
        </w:rPr>
        <w:t xml:space="preserve">Great North Management and Leadership Training Institute presents </w:t>
      </w:r>
    </w:p>
    <w:p w14:paraId="0235B15F" w14:textId="66E2697D" w:rsidR="00154FB7" w:rsidRDefault="00BA0663" w:rsidP="00A90B94">
      <w:pPr>
        <w:spacing w:before="180" w:after="180"/>
        <w:rPr>
          <w:rFonts w:ascii="Chalkboard" w:hAnsi="Chalkboard" w:cs="Times New Roman"/>
          <w:b/>
          <w:bCs/>
          <w:color w:val="3B3B3B"/>
        </w:rPr>
      </w:pPr>
      <w:r>
        <w:rPr>
          <w:rFonts w:ascii="Chalkboard" w:hAnsi="Chalkboard" w:cs="Times New Roman"/>
          <w:b/>
          <w:bCs/>
          <w:color w:val="70AD47" w:themeColor="accent6"/>
        </w:rPr>
        <w:t>21</w:t>
      </w:r>
      <w:r w:rsidRPr="00BA0663">
        <w:rPr>
          <w:rFonts w:ascii="Chalkboard" w:hAnsi="Chalkboard" w:cs="Times New Roman"/>
          <w:b/>
          <w:bCs/>
          <w:color w:val="70AD47" w:themeColor="accent6"/>
          <w:vertAlign w:val="superscript"/>
        </w:rPr>
        <w:t>st</w:t>
      </w:r>
      <w:r>
        <w:rPr>
          <w:rFonts w:ascii="Chalkboard" w:hAnsi="Chalkboard" w:cs="Times New Roman"/>
          <w:b/>
          <w:bCs/>
          <w:color w:val="70AD47" w:themeColor="accent6"/>
        </w:rPr>
        <w:t xml:space="preserve"> Century</w:t>
      </w:r>
      <w:r w:rsidR="003A21F4">
        <w:rPr>
          <w:rFonts w:ascii="Chalkboard" w:hAnsi="Chalkboard" w:cs="Times New Roman"/>
          <w:b/>
          <w:bCs/>
          <w:color w:val="70AD47" w:themeColor="accent6"/>
        </w:rPr>
        <w:t xml:space="preserve"> Masterclass</w:t>
      </w:r>
      <w:r>
        <w:rPr>
          <w:rFonts w:ascii="Chalkboard" w:hAnsi="Chalkboard" w:cs="Times New Roman"/>
          <w:b/>
          <w:bCs/>
          <w:color w:val="70AD47" w:themeColor="accent6"/>
        </w:rPr>
        <w:t xml:space="preserve"> </w:t>
      </w:r>
      <w:r w:rsidR="009B1EBD">
        <w:rPr>
          <w:rFonts w:ascii="Chalkboard" w:hAnsi="Chalkboard" w:cs="Times New Roman"/>
          <w:b/>
          <w:bCs/>
          <w:color w:val="70AD47" w:themeColor="accent6"/>
        </w:rPr>
        <w:t>Facilities Management Short Course</w:t>
      </w:r>
    </w:p>
    <w:p w14:paraId="0D487869" w14:textId="5E2682CD" w:rsidR="006A641D" w:rsidRDefault="00E56AAC" w:rsidP="000F585B">
      <w:pPr>
        <w:spacing w:before="180" w:after="180"/>
        <w:rPr>
          <w:rFonts w:ascii="Chalkboard" w:hAnsi="Chalkboard" w:cs="Times New Roman"/>
          <w:b/>
          <w:bCs/>
          <w:color w:val="70AD47" w:themeColor="accent6"/>
          <w:sz w:val="28"/>
          <w:szCs w:val="28"/>
        </w:rPr>
      </w:pPr>
      <w:r w:rsidRPr="005036B1">
        <w:rPr>
          <w:rFonts w:ascii="Chalkboard" w:hAnsi="Chalkboard" w:cs="Times New Roman"/>
          <w:b/>
          <w:bCs/>
          <w:color w:val="70AD47" w:themeColor="accent6"/>
          <w:sz w:val="28"/>
          <w:szCs w:val="28"/>
        </w:rPr>
        <w:t>Course overview</w:t>
      </w:r>
    </w:p>
    <w:p w14:paraId="68528096" w14:textId="1BBFAD27" w:rsidR="0091385C" w:rsidRPr="00D070B2" w:rsidRDefault="002B1AFB" w:rsidP="00BA0663">
      <w:pPr>
        <w:spacing w:before="180" w:after="180"/>
        <w:jc w:val="both"/>
        <w:rPr>
          <w:rFonts w:ascii="Chalkboard" w:hAnsi="Chalkboard" w:cs="Times New Roman"/>
          <w:bCs/>
          <w:color w:val="000000" w:themeColor="text1"/>
        </w:rPr>
      </w:pPr>
      <w:r w:rsidRPr="00D070B2">
        <w:rPr>
          <w:rFonts w:ascii="Chalkboard" w:hAnsi="Chalkboard" w:cs="Times New Roman"/>
          <w:bCs/>
          <w:color w:val="000000" w:themeColor="text1"/>
        </w:rPr>
        <w:t>As facilities management expands and makes its impact across the globe, it is essential that every stakeholder keeps abreast of the</w:t>
      </w:r>
      <w:r w:rsidRPr="00D070B2">
        <w:rPr>
          <w:rFonts w:ascii="Chalkboard" w:hAnsi="Chalkboard" w:cs="Times New Roman"/>
          <w:b/>
          <w:bCs/>
          <w:color w:val="000000" w:themeColor="text1"/>
        </w:rPr>
        <w:t xml:space="preserve"> </w:t>
      </w:r>
      <w:r w:rsidRPr="00D070B2">
        <w:rPr>
          <w:rFonts w:ascii="Chalkboard" w:hAnsi="Chalkboard" w:cs="Times New Roman"/>
          <w:bCs/>
          <w:color w:val="000000" w:themeColor="text1"/>
        </w:rPr>
        <w:t>key developments and trends </w:t>
      </w:r>
      <w:r w:rsidR="00BA0663" w:rsidRPr="00D070B2">
        <w:rPr>
          <w:rFonts w:ascii="Chalkboard" w:hAnsi="Chalkboard" w:cs="Times New Roman"/>
          <w:bCs/>
          <w:color w:val="000000" w:themeColor="text1"/>
        </w:rPr>
        <w:t>the</w:t>
      </w:r>
      <w:r w:rsidRPr="00D070B2">
        <w:rPr>
          <w:rFonts w:ascii="Chalkboard" w:hAnsi="Chalkboard" w:cs="Times New Roman"/>
          <w:bCs/>
          <w:color w:val="000000" w:themeColor="text1"/>
        </w:rPr>
        <w:t xml:space="preserve"> role of the facilities manager has grown considerably over the past few years.</w:t>
      </w:r>
      <w:r w:rsidR="00BA0663" w:rsidRPr="00D070B2">
        <w:rPr>
          <w:rFonts w:ascii="Chalkboard" w:hAnsi="Chalkboard" w:cs="Times New Roman"/>
          <w:bCs/>
          <w:color w:val="000000" w:themeColor="text1"/>
        </w:rPr>
        <w:t xml:space="preserve"> </w:t>
      </w:r>
      <w:r w:rsidRPr="00D070B2">
        <w:rPr>
          <w:rFonts w:ascii="Chalkboard" w:hAnsi="Chalkboard" w:cs="Times New Roman"/>
          <w:bCs/>
          <w:color w:val="000000" w:themeColor="text1"/>
        </w:rPr>
        <w:t>As legislation places an ever-growing demand on the industry professional,</w:t>
      </w:r>
    </w:p>
    <w:p w14:paraId="401BE9FC" w14:textId="77777777" w:rsidR="00BA0663" w:rsidRPr="003A21F4" w:rsidRDefault="00BA0663" w:rsidP="00BA0663">
      <w:pPr>
        <w:spacing w:before="180" w:after="180"/>
        <w:jc w:val="both"/>
        <w:rPr>
          <w:rFonts w:ascii="Chalkboard" w:hAnsi="Chalkboard" w:cs="Times New Roman"/>
          <w:b/>
          <w:bCs/>
          <w:color w:val="000000" w:themeColor="text1"/>
          <w:sz w:val="28"/>
          <w:szCs w:val="28"/>
        </w:rPr>
      </w:pPr>
      <w:r w:rsidRPr="003A21F4">
        <w:rPr>
          <w:rFonts w:ascii="Chalkboard" w:hAnsi="Chalkboard" w:cs="Times New Roman"/>
          <w:b/>
          <w:bCs/>
          <w:color w:val="000000" w:themeColor="text1"/>
          <w:sz w:val="28"/>
          <w:szCs w:val="28"/>
        </w:rPr>
        <w:t>The following outcomes will be achieved</w:t>
      </w:r>
    </w:p>
    <w:p w14:paraId="09EC4D2E" w14:textId="4D7F2659" w:rsidR="0091385C" w:rsidRPr="00D070B2" w:rsidRDefault="002B1AFB" w:rsidP="00BA0663">
      <w:pPr>
        <w:spacing w:before="180" w:after="180"/>
        <w:jc w:val="both"/>
        <w:rPr>
          <w:rFonts w:ascii="Chalkboard" w:hAnsi="Chalkboard" w:cs="Times New Roman"/>
          <w:bCs/>
          <w:color w:val="000000" w:themeColor="text1"/>
        </w:rPr>
      </w:pPr>
      <w:r w:rsidRPr="00D070B2">
        <w:rPr>
          <w:rFonts w:ascii="Chalkboard" w:hAnsi="Chalkboard" w:cs="Times New Roman"/>
          <w:bCs/>
          <w:color w:val="000000" w:themeColor="text1"/>
        </w:rPr>
        <w:t xml:space="preserve">This comprehensive staff development course will help delegates to understand any issue from risk management, environment and legal responsibilities, right through to expert service delivery. </w:t>
      </w:r>
    </w:p>
    <w:p w14:paraId="03F03290" w14:textId="037D19F7" w:rsidR="00102771" w:rsidRPr="00D070B2" w:rsidRDefault="002B1AFB" w:rsidP="00BA0663">
      <w:pPr>
        <w:spacing w:before="180" w:after="180"/>
        <w:jc w:val="both"/>
        <w:rPr>
          <w:rFonts w:ascii="Chalkboard" w:hAnsi="Chalkboard" w:cs="Times New Roman"/>
          <w:bCs/>
          <w:color w:val="000000" w:themeColor="text1"/>
        </w:rPr>
      </w:pPr>
      <w:r w:rsidRPr="00D070B2">
        <w:rPr>
          <w:rFonts w:ascii="Chalkboard" w:hAnsi="Chalkboard" w:cs="Times New Roman"/>
          <w:bCs/>
          <w:color w:val="000000" w:themeColor="text1"/>
        </w:rPr>
        <w:t xml:space="preserve">I am confident that whether delegates are commencing a career in facilities management or are seasoned campaigners and practitioners, there is something of value to be gained in </w:t>
      </w:r>
      <w:r w:rsidR="00BA0663" w:rsidRPr="00D070B2">
        <w:rPr>
          <w:rFonts w:ascii="Chalkboard" w:hAnsi="Chalkboard" w:cs="Times New Roman"/>
          <w:bCs/>
          <w:color w:val="000000" w:themeColor="text1"/>
        </w:rPr>
        <w:t>this training</w:t>
      </w:r>
      <w:r w:rsidRPr="00D070B2">
        <w:rPr>
          <w:rFonts w:ascii="Chalkboard" w:hAnsi="Chalkboard" w:cs="Times New Roman"/>
          <w:bCs/>
          <w:color w:val="000000" w:themeColor="text1"/>
        </w:rPr>
        <w:t>.</w:t>
      </w:r>
    </w:p>
    <w:p w14:paraId="195E4F30" w14:textId="6471FC7D" w:rsidR="00154FB7" w:rsidRPr="005036B1" w:rsidRDefault="00154FB7" w:rsidP="00102771">
      <w:pPr>
        <w:spacing w:before="100" w:beforeAutospacing="1" w:after="100" w:afterAutospacing="1"/>
        <w:jc w:val="both"/>
        <w:rPr>
          <w:rFonts w:ascii="Chalkboard" w:eastAsia="Times New Roman" w:hAnsi="Chalkboard" w:cs="Times New Roman"/>
          <w:color w:val="70AD47" w:themeColor="accent6"/>
          <w:sz w:val="28"/>
          <w:szCs w:val="28"/>
        </w:rPr>
      </w:pPr>
      <w:r w:rsidRPr="005036B1">
        <w:rPr>
          <w:rFonts w:ascii="Chalkboard" w:hAnsi="Chalkboard" w:cs="Times New Roman"/>
          <w:b/>
          <w:bCs/>
          <w:color w:val="70AD47" w:themeColor="accent6"/>
          <w:sz w:val="28"/>
          <w:szCs w:val="28"/>
          <w:u w:val="single"/>
        </w:rPr>
        <w:t>COURSE OUTLINE:</w:t>
      </w:r>
    </w:p>
    <w:p w14:paraId="552F63C4" w14:textId="307E7217" w:rsidR="00BA0663" w:rsidRDefault="0014516C" w:rsidP="00102771">
      <w:pPr>
        <w:spacing w:before="100" w:beforeAutospacing="1" w:after="100" w:afterAutospacing="1"/>
        <w:rPr>
          <w:rFonts w:ascii="Chalkboard" w:eastAsia="Times New Roman" w:hAnsi="Chalkboard" w:cs="Arial"/>
        </w:rPr>
      </w:pPr>
      <w:r>
        <w:rPr>
          <w:rFonts w:ascii="Chalkboard" w:eastAsia="Times New Roman" w:hAnsi="Chalkboard" w:cs="Arial"/>
        </w:rPr>
        <w:t>The programme consists of Thirteen</w:t>
      </w:r>
      <w:r w:rsidR="00BA0663" w:rsidRPr="006A641D">
        <w:rPr>
          <w:rFonts w:ascii="Chalkboard" w:eastAsia="Times New Roman" w:hAnsi="Chalkboard" w:cs="Arial"/>
        </w:rPr>
        <w:t xml:space="preserve"> modules offer</w:t>
      </w:r>
      <w:r w:rsidR="00BA0663">
        <w:rPr>
          <w:rFonts w:ascii="Chalkboard" w:eastAsia="Times New Roman" w:hAnsi="Chalkboard" w:cs="Arial"/>
        </w:rPr>
        <w:t>ed in two weeks full day of</w:t>
      </w:r>
      <w:r w:rsidR="00BA0663" w:rsidRPr="006A641D">
        <w:rPr>
          <w:rFonts w:ascii="Chalkboard" w:eastAsia="Times New Roman" w:hAnsi="Chalkboard" w:cs="Arial"/>
        </w:rPr>
        <w:t xml:space="preserve"> face-to-face contact session is </w:t>
      </w:r>
      <w:r>
        <w:rPr>
          <w:rFonts w:ascii="Chalkboard" w:eastAsia="Times New Roman" w:hAnsi="Chalkboard" w:cs="Arial"/>
        </w:rPr>
        <w:t>scheduled for every one of the 13</w:t>
      </w:r>
      <w:r w:rsidR="00BA0663" w:rsidRPr="006A641D">
        <w:rPr>
          <w:rFonts w:ascii="Chalkboard" w:eastAsia="Times New Roman" w:hAnsi="Chalkboard" w:cs="Arial"/>
        </w:rPr>
        <w:t xml:space="preserve"> modules</w:t>
      </w:r>
    </w:p>
    <w:p w14:paraId="453D21DD" w14:textId="56E6534F" w:rsidR="00102771" w:rsidRPr="0014516C" w:rsidRDefault="00D06489" w:rsidP="00102771">
      <w:pPr>
        <w:spacing w:before="100" w:beforeAutospacing="1" w:after="100" w:afterAutospacing="1"/>
        <w:rPr>
          <w:rFonts w:ascii="Chalkboard" w:eastAsia="Times New Roman" w:hAnsi="Chalkboard" w:cs="Arial"/>
          <w:b/>
        </w:rPr>
      </w:pPr>
      <w:r w:rsidRPr="0014516C">
        <w:rPr>
          <w:rFonts w:ascii="Chalkboard" w:eastAsia="Times New Roman" w:hAnsi="Chalkboard" w:cs="Arial"/>
          <w:b/>
        </w:rPr>
        <w:t>The thirteen</w:t>
      </w:r>
      <w:r w:rsidR="00102771" w:rsidRPr="0014516C">
        <w:rPr>
          <w:rFonts w:ascii="Chalkboard" w:eastAsia="Times New Roman" w:hAnsi="Chalkboard" w:cs="Arial"/>
          <w:b/>
        </w:rPr>
        <w:t xml:space="preserve"> modules that make-up the programme are:</w:t>
      </w:r>
    </w:p>
    <w:p w14:paraId="264E0296" w14:textId="1AD46E9D" w:rsidR="00D06489" w:rsidRPr="00D06489" w:rsidRDefault="00D06489" w:rsidP="00D0648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Chalkboard" w:eastAsia="Times New Roman" w:hAnsi="Chalkboard" w:cs="Arial"/>
        </w:rPr>
      </w:pPr>
      <w:r>
        <w:rPr>
          <w:rFonts w:ascii="Chalkboard" w:eastAsia="Times New Roman" w:hAnsi="Chalkboard" w:cs="Arial"/>
          <w:b/>
        </w:rPr>
        <w:t>Complying with Safety, Healthy, Fire and Environmental Law</w:t>
      </w:r>
    </w:p>
    <w:p w14:paraId="3B3AD158" w14:textId="3845002E" w:rsidR="00102771" w:rsidRDefault="00D06489" w:rsidP="00102771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</w:rPr>
      </w:pPr>
      <w:r>
        <w:rPr>
          <w:rFonts w:ascii="Chalkboard" w:eastAsia="Times New Roman" w:hAnsi="Chalkboard" w:cs="Arial"/>
          <w:b/>
        </w:rPr>
        <w:t xml:space="preserve">Complying with the law on Staff, Causal and Contractor </w:t>
      </w:r>
      <w:r w:rsidR="0014516C">
        <w:rPr>
          <w:rFonts w:ascii="Chalkboard" w:eastAsia="Times New Roman" w:hAnsi="Chalkboard" w:cs="Arial"/>
          <w:b/>
        </w:rPr>
        <w:t>workers.</w:t>
      </w:r>
      <w:r w:rsidR="00102771" w:rsidRPr="00102771">
        <w:rPr>
          <w:rFonts w:ascii="Chalkboard" w:eastAsia="Times New Roman" w:hAnsi="Chalkboard" w:cs="Arial"/>
        </w:rPr>
        <w:t xml:space="preserve"> </w:t>
      </w:r>
    </w:p>
    <w:p w14:paraId="21660C6B" w14:textId="718AA352" w:rsidR="00E86B64" w:rsidRPr="00E86B64" w:rsidRDefault="00D06489" w:rsidP="00102771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</w:rPr>
      </w:pPr>
      <w:r>
        <w:rPr>
          <w:rFonts w:ascii="Chalkboard" w:eastAsia="Times New Roman" w:hAnsi="Chalkboard" w:cs="Arial"/>
          <w:b/>
        </w:rPr>
        <w:t>Complying with the Property Law</w:t>
      </w:r>
      <w:r w:rsidR="00E86B64">
        <w:rPr>
          <w:rFonts w:ascii="Chalkboard" w:eastAsia="Times New Roman" w:hAnsi="Chalkboard" w:cs="Arial"/>
        </w:rPr>
        <w:t>.</w:t>
      </w:r>
    </w:p>
    <w:p w14:paraId="0CAFEF56" w14:textId="614D0412" w:rsidR="00D06489" w:rsidRPr="00D06489" w:rsidRDefault="00D06489" w:rsidP="00D06489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</w:rPr>
      </w:pPr>
      <w:r>
        <w:rPr>
          <w:rFonts w:ascii="Chalkboard" w:eastAsia="Times New Roman" w:hAnsi="Chalkboard" w:cs="Arial"/>
          <w:b/>
        </w:rPr>
        <w:t>Financial Management</w:t>
      </w:r>
    </w:p>
    <w:p w14:paraId="62A2228B" w14:textId="6F83F887" w:rsidR="00D06489" w:rsidRDefault="00D06489" w:rsidP="00D06489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  <w:b/>
        </w:rPr>
      </w:pPr>
      <w:r w:rsidRPr="00D06489">
        <w:rPr>
          <w:rFonts w:ascii="Chalkboard" w:eastAsia="Times New Roman" w:hAnsi="Chalkboard"/>
          <w:b/>
        </w:rPr>
        <w:t>Risk Management</w:t>
      </w:r>
    </w:p>
    <w:p w14:paraId="34E23C2B" w14:textId="180AD201" w:rsidR="00D06489" w:rsidRPr="00D06489" w:rsidRDefault="00D06489" w:rsidP="00D06489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  <w:b/>
        </w:rPr>
      </w:pPr>
      <w:r>
        <w:rPr>
          <w:rFonts w:ascii="Chalkboard" w:eastAsia="Times New Roman" w:hAnsi="Chalkboard"/>
          <w:b/>
        </w:rPr>
        <w:t>Business Continuity</w:t>
      </w:r>
    </w:p>
    <w:p w14:paraId="15677C0D" w14:textId="29CF7269" w:rsidR="00E86B64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</w:rPr>
      </w:pPr>
      <w:r>
        <w:rPr>
          <w:rFonts w:ascii="Chalkboard" w:eastAsia="Times New Roman" w:hAnsi="Chalkboard" w:cs="Arial"/>
          <w:b/>
        </w:rPr>
        <w:t>7</w:t>
      </w:r>
      <w:r w:rsidR="0014516C">
        <w:rPr>
          <w:rFonts w:ascii="Chalkboard" w:eastAsia="Times New Roman" w:hAnsi="Chalkboard" w:cs="Arial"/>
          <w:b/>
        </w:rPr>
        <w:t>) O</w:t>
      </w:r>
      <w:r w:rsidR="0014516C" w:rsidRPr="00D06489">
        <w:rPr>
          <w:rFonts w:ascii="Chalkboard" w:eastAsia="Times New Roman" w:hAnsi="Chalkboard" w:cs="Arial"/>
          <w:b/>
        </w:rPr>
        <w:t>utsourcing of facilities management</w:t>
      </w:r>
      <w:r w:rsidR="00E86B64" w:rsidRPr="00D06489">
        <w:rPr>
          <w:rFonts w:ascii="Chalkboard" w:eastAsia="Times New Roman" w:hAnsi="Chalkboard" w:cs="Arial"/>
        </w:rPr>
        <w:t xml:space="preserve">. </w:t>
      </w:r>
    </w:p>
    <w:p w14:paraId="07602AC4" w14:textId="3057C51E" w:rsidR="00D06489" w:rsidRP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</w:rPr>
        <w:t xml:space="preserve">8) </w:t>
      </w:r>
      <w:r w:rsidRPr="00D06489">
        <w:rPr>
          <w:rFonts w:ascii="Chalkboard" w:eastAsia="Times New Roman" w:hAnsi="Chalkboard" w:cs="Arial"/>
          <w:b/>
        </w:rPr>
        <w:t>Transport Policies</w:t>
      </w:r>
    </w:p>
    <w:p w14:paraId="3231D728" w14:textId="6CADC4E1" w:rsidR="00D06489" w:rsidRP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Times New Roman"/>
          <w:b/>
        </w:rPr>
      </w:pPr>
      <w:r w:rsidRPr="00D06489">
        <w:rPr>
          <w:rFonts w:ascii="Chalkboard" w:eastAsia="Times New Roman" w:hAnsi="Chalkboard" w:cs="Arial"/>
          <w:b/>
        </w:rPr>
        <w:lastRenderedPageBreak/>
        <w:t xml:space="preserve">9) Information Technology and Communication </w:t>
      </w:r>
    </w:p>
    <w:p w14:paraId="5C37869D" w14:textId="782D24D4" w:rsidR="009D595D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</w:rPr>
        <w:t>1</w:t>
      </w:r>
      <w:r w:rsidRPr="00D06489">
        <w:rPr>
          <w:rFonts w:ascii="Chalkboard" w:eastAsia="Times New Roman" w:hAnsi="Chalkboard" w:cs="Arial"/>
          <w:b/>
        </w:rPr>
        <w:t>0)  Workplace Facilities</w:t>
      </w:r>
      <w:r w:rsidR="00E86B64" w:rsidRPr="00D06489">
        <w:rPr>
          <w:rFonts w:ascii="Chalkboard" w:eastAsia="Times New Roman" w:hAnsi="Chalkboard" w:cs="Arial"/>
          <w:b/>
        </w:rPr>
        <w:t xml:space="preserve">  </w:t>
      </w:r>
    </w:p>
    <w:p w14:paraId="76EAE19B" w14:textId="0FA389B6" w:rsid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  <w:b/>
        </w:rPr>
        <w:t>11) Space design and Management</w:t>
      </w:r>
    </w:p>
    <w:p w14:paraId="0FE6C617" w14:textId="0D3DB43E" w:rsid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  <w:b/>
        </w:rPr>
        <w:t xml:space="preserve">12) </w:t>
      </w:r>
      <w:r w:rsidR="0014516C">
        <w:rPr>
          <w:rFonts w:ascii="Chalkboard" w:eastAsia="Times New Roman" w:hAnsi="Chalkboard" w:cs="Arial"/>
          <w:b/>
        </w:rPr>
        <w:t>Access, Safety and Security</w:t>
      </w:r>
    </w:p>
    <w:p w14:paraId="13385497" w14:textId="38E513A1" w:rsidR="0014516C" w:rsidRPr="00D06489" w:rsidRDefault="0014516C" w:rsidP="00D06489">
      <w:pPr>
        <w:spacing w:before="100" w:beforeAutospacing="1" w:after="100" w:afterAutospacing="1"/>
        <w:jc w:val="both"/>
        <w:rPr>
          <w:rFonts w:ascii="Chalkboard" w:hAnsi="Chalkboard"/>
          <w:b/>
        </w:rPr>
      </w:pPr>
      <w:r>
        <w:rPr>
          <w:rFonts w:ascii="Chalkboard" w:eastAsia="Times New Roman" w:hAnsi="Chalkboard" w:cs="Arial"/>
          <w:b/>
        </w:rPr>
        <w:t>13) Maintenance and Repairs</w:t>
      </w:r>
    </w:p>
    <w:tbl>
      <w:tblPr>
        <w:tblW w:w="857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162"/>
      </w:tblGrid>
      <w:tr w:rsidR="009D595D" w:rsidRPr="00BB7DC2" w14:paraId="607EBAB6" w14:textId="77777777" w:rsidTr="0098593B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9ED35" w14:textId="229206E7" w:rsidR="009D595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First Workshop dates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DD3AF" w14:textId="4CB2C31E" w:rsidR="009D595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11 February 2019 – 22 February 2019</w:t>
            </w:r>
          </w:p>
        </w:tc>
      </w:tr>
      <w:tr w:rsidR="00327C7D" w:rsidRPr="00BB7DC2" w14:paraId="7BFC0CCA" w14:textId="77777777" w:rsidTr="00327C7D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136CB" w14:textId="52385467" w:rsidR="00327C7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>Second Workshop dates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FF08C" w14:textId="4213A60B" w:rsidR="00327C7D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 April 2019- 12 April 2019</w:t>
            </w:r>
          </w:p>
        </w:tc>
      </w:tr>
      <w:tr w:rsidR="00327C7D" w:rsidRPr="00BB7DC2" w14:paraId="6F869D05" w14:textId="77777777" w:rsidTr="0098593B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5C0BC" w14:textId="7E99F200" w:rsidR="00327C7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>Third Workshop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D978" w14:textId="6BF412B3" w:rsidR="00327C7D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1July 2019- 12 July 2019</w:t>
            </w:r>
          </w:p>
        </w:tc>
      </w:tr>
      <w:tr w:rsidR="00044BE8" w:rsidRPr="00BB7DC2" w14:paraId="1DF6C131" w14:textId="77777777" w:rsidTr="00327C7D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911D0" w14:textId="69504482" w:rsidR="00044BE8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>Fourth Work Shop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D4AAE" w14:textId="23C96391" w:rsidR="00044BE8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 October 2019- 18 October 2019</w:t>
            </w:r>
          </w:p>
        </w:tc>
      </w:tr>
      <w:tr w:rsidR="009D595D" w:rsidRPr="00BB7DC2" w14:paraId="505AAD7E" w14:textId="77777777" w:rsidTr="009A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16295" w14:textId="115CEB27" w:rsidR="009D595D" w:rsidRPr="009D595D" w:rsidRDefault="00A956AC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Total Course Fees </w:t>
            </w:r>
            <w:r w:rsidR="009D595D"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D6A7" w14:textId="4629FC8B" w:rsidR="00D11AE0" w:rsidRPr="009D595D" w:rsidRDefault="00453C8A" w:rsidP="00E748F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R 19 </w:t>
            </w:r>
            <w:r w:rsidR="006F441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500.00.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The course fee includes, tea, lunch and other learning </w:t>
            </w:r>
          </w:p>
        </w:tc>
      </w:tr>
      <w:tr w:rsidR="009D595D" w:rsidRPr="00BB7DC2" w14:paraId="72D2F695" w14:textId="77777777" w:rsidTr="00062C0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E991C" w14:textId="77777777" w:rsidR="009D595D" w:rsidRPr="009D595D" w:rsidRDefault="009D595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Accommodation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94F3" w14:textId="5AC85967" w:rsidR="009D595D" w:rsidRPr="009D595D" w:rsidRDefault="00FB7CE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Is excluded from the tuition fees</w:t>
            </w:r>
            <w:bookmarkStart w:id="0" w:name="_GoBack"/>
            <w:bookmarkEnd w:id="0"/>
          </w:p>
        </w:tc>
      </w:tr>
      <w:tr w:rsidR="009D595D" w:rsidRPr="00BB7DC2" w14:paraId="079C84BE" w14:textId="77777777" w:rsidTr="009A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A96D6" w14:textId="49FCACB7" w:rsidR="009D595D" w:rsidRPr="009D595D" w:rsidRDefault="000F585B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4804" w14:textId="3BFC1950" w:rsidR="009D595D" w:rsidRPr="009D595D" w:rsidRDefault="000F585B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 w:rsidR="00E61A5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</w:t>
            </w:r>
            <w:r w:rsidR="009A18DB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4 200.00</w:t>
            </w:r>
          </w:p>
        </w:tc>
      </w:tr>
      <w:tr w:rsidR="009D595D" w:rsidRPr="00BB7DC2" w14:paraId="77A58F07" w14:textId="77777777" w:rsidTr="009A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D24D9" w14:textId="77777777" w:rsidR="009D595D" w:rsidRPr="00BB7DC2" w:rsidRDefault="009D595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58AC" w14:textId="77777777" w:rsidR="009D595D" w:rsidRPr="00BB7DC2" w:rsidRDefault="009D595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59342846" w14:textId="77777777" w:rsidR="009D595D" w:rsidRPr="009D595D" w:rsidRDefault="009D595D" w:rsidP="009D595D">
      <w:pPr>
        <w:rPr>
          <w:rFonts w:ascii="Chalkboard" w:hAnsi="Chalkboard"/>
          <w:b/>
        </w:rPr>
      </w:pPr>
    </w:p>
    <w:sectPr w:rsidR="009D595D" w:rsidRPr="009D595D" w:rsidSect="00BE728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1E3"/>
    <w:multiLevelType w:val="hybridMultilevel"/>
    <w:tmpl w:val="5D724988"/>
    <w:lvl w:ilvl="0" w:tplc="2A1CE010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B64"/>
    <w:multiLevelType w:val="multilevel"/>
    <w:tmpl w:val="A61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50745"/>
    <w:multiLevelType w:val="multilevel"/>
    <w:tmpl w:val="348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02330"/>
    <w:multiLevelType w:val="multilevel"/>
    <w:tmpl w:val="542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129F4"/>
    <w:multiLevelType w:val="multilevel"/>
    <w:tmpl w:val="5D724988"/>
    <w:lvl w:ilvl="0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4597"/>
    <w:multiLevelType w:val="hybridMultilevel"/>
    <w:tmpl w:val="BE5E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C13B2"/>
    <w:multiLevelType w:val="hybridMultilevel"/>
    <w:tmpl w:val="975C2EE4"/>
    <w:lvl w:ilvl="0" w:tplc="4D5EA4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09F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5F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C57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6F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DE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222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E5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A07"/>
    <w:multiLevelType w:val="hybridMultilevel"/>
    <w:tmpl w:val="ABC08768"/>
    <w:lvl w:ilvl="0" w:tplc="0DB68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6E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89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87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3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2B2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9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1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00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DD3"/>
    <w:multiLevelType w:val="multilevel"/>
    <w:tmpl w:val="C20A9486"/>
    <w:lvl w:ilvl="0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150B2"/>
    <w:multiLevelType w:val="hybridMultilevel"/>
    <w:tmpl w:val="FD02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D0FF8"/>
    <w:multiLevelType w:val="multilevel"/>
    <w:tmpl w:val="A51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845D6"/>
    <w:multiLevelType w:val="hybridMultilevel"/>
    <w:tmpl w:val="CBA6484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7E4D369B"/>
    <w:multiLevelType w:val="multilevel"/>
    <w:tmpl w:val="505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B7"/>
    <w:rsid w:val="00044BE8"/>
    <w:rsid w:val="000F585B"/>
    <w:rsid w:val="00102771"/>
    <w:rsid w:val="0014516C"/>
    <w:rsid w:val="00154FB7"/>
    <w:rsid w:val="002B1AFB"/>
    <w:rsid w:val="002B71CA"/>
    <w:rsid w:val="00327C7D"/>
    <w:rsid w:val="003A21F4"/>
    <w:rsid w:val="003B10BA"/>
    <w:rsid w:val="00453C8A"/>
    <w:rsid w:val="004833F4"/>
    <w:rsid w:val="005036B1"/>
    <w:rsid w:val="00647555"/>
    <w:rsid w:val="006A641D"/>
    <w:rsid w:val="006B54F2"/>
    <w:rsid w:val="006F4419"/>
    <w:rsid w:val="00825DF4"/>
    <w:rsid w:val="008A23E1"/>
    <w:rsid w:val="0091385C"/>
    <w:rsid w:val="00941275"/>
    <w:rsid w:val="0098593B"/>
    <w:rsid w:val="009A18DB"/>
    <w:rsid w:val="009B1EBD"/>
    <w:rsid w:val="009D595D"/>
    <w:rsid w:val="00A90B94"/>
    <w:rsid w:val="00A956AC"/>
    <w:rsid w:val="00AA5499"/>
    <w:rsid w:val="00BA0663"/>
    <w:rsid w:val="00BE728F"/>
    <w:rsid w:val="00D06489"/>
    <w:rsid w:val="00D070B2"/>
    <w:rsid w:val="00D11AE0"/>
    <w:rsid w:val="00D4380E"/>
    <w:rsid w:val="00D75FA7"/>
    <w:rsid w:val="00E56AAC"/>
    <w:rsid w:val="00E61A5C"/>
    <w:rsid w:val="00E748FD"/>
    <w:rsid w:val="00E86B64"/>
    <w:rsid w:val="00F02D48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A7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F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4FB7"/>
    <w:rPr>
      <w:b/>
      <w:bCs/>
    </w:rPr>
  </w:style>
  <w:style w:type="character" w:customStyle="1" w:styleId="apple-converted-space">
    <w:name w:val="apple-converted-space"/>
    <w:basedOn w:val="DefaultParagraphFont"/>
    <w:rsid w:val="00154FB7"/>
  </w:style>
  <w:style w:type="paragraph" w:styleId="ListParagraph">
    <w:name w:val="List Paragraph"/>
    <w:basedOn w:val="Normal"/>
    <w:uiPriority w:val="34"/>
    <w:qFormat/>
    <w:rsid w:val="00E5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Joseph Makuvaza</cp:lastModifiedBy>
  <cp:revision>3</cp:revision>
  <dcterms:created xsi:type="dcterms:W3CDTF">2019-01-16T15:35:00Z</dcterms:created>
  <dcterms:modified xsi:type="dcterms:W3CDTF">2019-01-16T21:11:00Z</dcterms:modified>
</cp:coreProperties>
</file>